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CA-0070 · Interpretation</w:t>
      </w:r>
    </w:p>
    <w:p>
      <w:pPr>
        <w:pStyle w:val="Title"/>
      </w:pPr>
      <w:r>
        <w:t xml:space="preserve">Appeal as a Vested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right of appeal is fixed on the day the suit begins and is not taken away by a later law without clear words.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Garikapati Veeraya v. N. Subbiah Choudhry, AIR 1957 SC 540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https://fpr.iura.in/canons/appeal-as-a-vested-right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