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CA-0016 · Interpretation</w:t>
      </w:r>
    </w:p>
    <w:p>
      <w:pPr>
        <w:pStyle w:val="Title"/>
      </w:pPr>
      <w:r>
        <w:t xml:space="preserve">Beneficial Construction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Welfare legislation is read liberally in favour of the class it protects.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Regional Director, ESI Corpn. v. Francis De Costa, (1996) 6 SCC 1</w:t>
      </w:r>
    </w:p>
    <w:p>
      <w:pPr>
        <w:pStyle w:val="Bullet"/>
      </w:pPr>
      <w:r>
        <w:t xml:space="preserve">•  Bangalore Water Supply &amp; Sewerage Board v. A. Rajappa, (1978) 2 SCC 213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https://fpr.iura.in/canons/beneficial-construction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