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CA-0059 · Tax</w:t>
      </w:r>
    </w:p>
    <w:p>
      <w:pPr>
        <w:pStyle w:val="Title"/>
      </w:pPr>
      <w:r>
        <w:t xml:space="preserve">Benefit of Doubt to the Taxpayer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where a charging provision bears two reasonable meanings, the one favourable to the taxpayer is taken.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Vegetable Products Ltd., (1973) 88 ITR 192 (SC)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https://fpr.iura.in/canons/benefit-of-doubt-to-the-taxpayer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