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CA-0027 · Tax</w:t>
      </w:r>
    </w:p>
    <w:p>
      <w:pPr>
        <w:pStyle w:val="Title"/>
      </w:pPr>
      <w:r>
        <w:t xml:space="preserve">Charging and Machinery Provisions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A charge is read strictly; the machinery to collect it is read so as to make the charge work.</w:t>
      </w:r>
    </w:p>
    <w:p>
      <w:pPr>
        <w:pStyle w:val="Guidance"/>
      </w:pPr>
      <w:r>
        <w:t xml:space="preserve">Authorities to start from. These are places to begin, listed by the editors. Read each one in the original and check the citation before you rely on it.</w:t>
      </w:r>
    </w:p>
    <w:p>
      <w:pPr>
        <w:pStyle w:val="Bullet"/>
      </w:pPr>
      <w:r>
        <w:t xml:space="preserve">•  CIT v. B.C. Srinivasa Setty, (1981) 2 SCC 460</w:t>
      </w:r>
    </w:p>
    <w:p>
      <w:pPr>
        <w:pStyle w:val="Bullet"/>
      </w:pPr>
      <w:r>
        <w:t xml:space="preserve">•  Gursahai Saigal v. CIT, AIR 1963 SC 1062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https://fpr.iura.in/canons/charging-and-machinery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