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CA-0026 · Tax</w:t>
      </w:r>
    </w:p>
    <w:p>
      <w:pPr>
        <w:pStyle w:val="Title"/>
      </w:pPr>
      <w:r>
        <w:t xml:space="preserve">The Common Parlance Test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Words in a taxing entry are read as traders and consumers understand them, not in their scientific sense.</w:t>
      </w:r>
    </w:p>
    <w:p>
      <w:pPr>
        <w:pStyle w:val="Guidance"/>
      </w:pPr>
      <w:r>
        <w:t xml:space="preserve">Authorities to start from. These are places to begin, listed by the editors. Read each one in the original and check the citation before you rely on it.</w:t>
      </w:r>
    </w:p>
    <w:p>
      <w:pPr>
        <w:pStyle w:val="Bullet"/>
      </w:pPr>
      <w:r>
        <w:t xml:space="preserve">•  Ramavatar Budhaiprasad v. Asstt. Sales Tax Officer, AIR 1961 SC 1325</w:t>
      </w:r>
    </w:p>
    <w:p>
      <w:pPr>
        <w:pStyle w:val="Bullet"/>
      </w:pPr>
      <w:r>
        <w:t xml:space="preserve">•  CCE v. Connaught Plaza Restaurant (P) Ltd., (2012) 13 SCC 639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https://fpr.iura.in/canons/common-parlance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