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CA-0029 · International (Public)</w:t>
      </w:r>
    </w:p>
    <w:p>
      <w:pPr>
        <w:pStyle w:val="Title"/>
      </w:pPr>
      <w:r>
        <w:t xml:space="preserve">Reading Statutes Consistently with International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Where a statute is open to two meanings, the one that conforms to India’s treaty obligations is preferred.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Gramophone Co. of India Ltd. v. Birendra Bahadur Pandey, (1984) 2 SCC 534</w:t>
      </w:r>
    </w:p>
    <w:p>
      <w:pPr>
        <w:pStyle w:val="Bullet"/>
      </w:pPr>
      <w:r>
        <w:t xml:space="preserve">•  Vishaka v. State of Rajasthan, (1997) 6 SCC 241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https://fpr.iura.in/canons/consistent-interpretation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