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CA-0023 · Interpretation</w:t>
      </w:r>
    </w:p>
    <w:p>
      <w:pPr>
        <w:pStyle w:val="Title"/>
      </w:pPr>
      <w:r>
        <w:t xml:space="preserve">Contemporanea Expositio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reading given to a statute by those who administered it at the time, as an aid for old and ambiguous enactments.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K.P. Varghese v. ITO, (1981) 4 SCC 173</w:t>
      </w:r>
    </w:p>
    <w:p>
      <w:pPr>
        <w:pStyle w:val="Bullet"/>
      </w:pPr>
      <w:r>
        <w:t xml:space="preserve">•  Desh Bandhu Gupta &amp; Co. v. Delhi Stock Exchange Assn. Ltd., (1979) 4 SCC 565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https://fpr.iura.in/canons/contemporanea-expositio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