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CA-0031 · Contract</w:t>
      </w:r>
    </w:p>
    <w:p>
      <w:pPr>
        <w:pStyle w:val="Title"/>
      </w:pPr>
      <w:r>
        <w:t xml:space="preserve">Contra Proferentem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An ambiguous term is read against the party who drafted it, especially in insurance policies and standard forms.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India Insurance Co. Ltd. v. Pushpalaya Printers, (2004) 3 SCC 694</w:t>
      </w:r>
    </w:p>
    <w:p>
      <w:pPr>
        <w:pStyle w:val="Bullet"/>
      </w:pPr>
      <w:r>
        <w:t xml:space="preserve">•  General Assurance Society Ltd. v. Chandumull Jain, AIR 1966 SC 1644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https://fpr.iura.in/canons/contra-proferentem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