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CA-0006 · Interpretation</w:t>
      </w:r>
    </w:p>
    <w:p>
      <w:pPr>
        <w:pStyle w:val="Title"/>
      </w:pPr>
      <w:r>
        <w:t xml:space="preserve">Ejusdem Generis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General words following specific ones take their colour from the genus: the conditions for applying the canon.</w:t>
      </w:r>
    </w:p>
    <w:p>
      <w:pPr>
        <w:pStyle w:val="Guidance"/>
      </w:pPr>
      <w:r>
        <w:t xml:space="preserve">Authorities to start from. These are places to begin, listed by the editors. Read each one in the original and check the citation before you rely on it.</w:t>
      </w:r>
    </w:p>
    <w:p>
      <w:pPr>
        <w:pStyle w:val="Bullet"/>
      </w:pPr>
      <w:r>
        <w:t xml:space="preserve">•  Amar Chandra Chakraborty v. Collector of Excise, (1972) 2 SCC 442</w:t>
      </w:r>
    </w:p>
    <w:p>
      <w:pPr>
        <w:pStyle w:val="Bullet"/>
      </w:pPr>
      <w:r>
        <w:t xml:space="preserve">•  Kavalappara Kottarathil Kochuni v. State of Madras, AIR 1960 SC 1080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https://fpr.iura.in/canons/ejusdem-generis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