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CA-0022 · Interpretation</w:t>
      </w:r>
    </w:p>
    <w:p>
      <w:pPr>
        <w:pStyle w:val="Title"/>
      </w:pPr>
      <w:r>
        <w:t xml:space="preserve">External Aids to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Parliamentary debates, committee reports and statements of objects: what a court may look at, and for what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Pepper v. Hart, [1993] AC 593</w:t>
      </w:r>
    </w:p>
    <w:p>
      <w:pPr>
        <w:pStyle w:val="Bullet"/>
      </w:pPr>
      <w:r>
        <w:t xml:space="preserve">•  K.P. Varghese v. ITO, (1981) 4 SCC 173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https://fpr.iura.in/canons/external-aids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