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CA-0002 · Interpretation</w:t>
      </w:r>
    </w:p>
    <w:p>
      <w:pPr>
        <w:pStyle w:val="Title"/>
      </w:pPr>
      <w:r>
        <w:t xml:space="preserve">The Golden Rule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Departing from the grammatical meaning to avoid absurdity, repugnance or inconsistency, and no further.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Tirath Singh v. Bachittar Singh, AIR 1955 SC 830</w:t>
      </w:r>
    </w:p>
    <w:p>
      <w:pPr>
        <w:pStyle w:val="Bullet"/>
      </w:pPr>
      <w:r>
        <w:t xml:space="preserve">•  Grey v. Pearson, (1857) 6 HLC 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https://fpr.iura.in/canons/golden-rule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