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CA-0005 · Interpretation</w:t>
      </w:r>
    </w:p>
    <w:p>
      <w:pPr>
        <w:pStyle w:val="Title"/>
      </w:pPr>
      <w:r>
        <w:t xml:space="preserve">Harmonious Construction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Provisions of one statute are read so that each has effect and none is rendered a dead letter.</w:t>
      </w:r>
    </w:p>
    <w:p>
      <w:pPr>
        <w:pStyle w:val="Guidance"/>
      </w:pPr>
      <w:r>
        <w:t xml:space="preserve">Authorities to start from. These are places to begin, listed by the editors. Read each one in the original and check the citation before you rely on it.</w:t>
      </w:r>
    </w:p>
    <w:p>
      <w:pPr>
        <w:pStyle w:val="Bullet"/>
      </w:pPr>
      <w:r>
        <w:t xml:space="preserve">•  Venkataramana Devaru v. State of Mysore, AIR 1958 SC 255</w:t>
      </w:r>
    </w:p>
    <w:p>
      <w:pPr>
        <w:pStyle w:val="Bullet"/>
      </w:pPr>
      <w:r>
        <w:t xml:space="preserve">•  Sultana Begum v. Prem Chand Jain, (1997) 1 SCC 373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https://fpr.iura.in/canons/harmonious-construction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