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CA-0010 · Interpretation</w:t>
      </w:r>
    </w:p>
    <w:p>
      <w:pPr>
        <w:pStyle w:val="Title"/>
      </w:pPr>
      <w:r>
        <w:t xml:space="preserve">The Later Law Prevails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Implied repeal by a later inconsistent enactment, the presumption against it, and conflicts between two non obstante clauses.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Council, Palai v. T.J. Joseph, AIR 1963 SC 1561</w:t>
      </w:r>
    </w:p>
    <w:p>
      <w:pPr>
        <w:pStyle w:val="Bullet"/>
      </w:pPr>
      <w:r>
        <w:t xml:space="preserve">•  Solidaire India Ltd. v. Fairgrowth Financial Services Ltd., (2001) 3 SCC 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https://fpr.iura.in/canons/later-law-prevails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