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CA-0044 · Interpretation</w:t>
      </w:r>
    </w:p>
    <w:p>
      <w:pPr>
        <w:pStyle w:val="Title"/>
      </w:pPr>
      <w:r>
        <w:t xml:space="preserve">Legislation by Reference and by Incorporation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Whether a statute that borrows from another takes later amendments with it, which turns on whether it referred or incorporated.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Collector of Customs v. Nathella Sampathu Chetty, AIR 1962 SC 316</w:t>
      </w:r>
    </w:p>
    <w:p>
      <w:pPr>
        <w:pStyle w:val="Bullet"/>
      </w:pPr>
      <w:r>
        <w:t xml:space="preserve">•  Mahindra &amp; Mahindra Ltd. v. Union of India, (1979) 2 SCC 529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https://fpr.iura.in/canons/legislation-by-reference-and-incorporation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