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CA-0063 · Civil Procedure</w:t>
      </w:r>
    </w:p>
    <w:p>
      <w:pPr>
        <w:pStyle w:val="Title"/>
      </w:pPr>
      <w:r>
        <w:t xml:space="preserve">Liberal Reading of Pleadings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pleadings are read for their substance and not struck down for want of form.</w:t>
      </w:r>
    </w:p>
    <w:p>
      <w:pPr>
        <w:pStyle w:val="Guidance"/>
      </w:pPr>
      <w:r>
        <w:t xml:space="preserve">Authorities to start from. These are places to begin, listed by the editors. Read each one in the original and check the citation before you rely on it.</w:t>
      </w:r>
    </w:p>
    <w:p>
      <w:pPr>
        <w:pStyle w:val="Bullet"/>
      </w:pPr>
      <w:r>
        <w:t xml:space="preserve">•  Ram Sarup Gupta v. Bishun Narain Inter College, (1987) 2 SCC 555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https://fpr.iura.in/canons/liberal-reading-of-pleadings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