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Canon · CA-0025 · Constitutional</w:t>
      </w:r>
    </w:p>
    <w:p>
      <w:pPr>
        <w:pStyle w:val="Title"/>
      </w:pPr>
      <w:r>
        <w:t xml:space="preserve">The Constitution as a Living Document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of reading</w:t>
      </w:r>
    </w:p>
    <w:p>
      <w:pPr>
        <w:pStyle w:val="Guidance"/>
      </w:pPr>
      <w:r>
        <w:t xml:space="preserve">State the canon and the kind of text it applies to.</w:t>
      </w:r>
    </w:p>
    <w:p/>
    <w:p>
      <w:pPr>
        <w:pStyle w:val="Heading1"/>
      </w:pPr>
      <w:r>
        <w:t xml:space="preserve">Its source</w:t>
      </w:r>
    </w:p>
    <w:p>
      <w:pPr>
        <w:pStyle w:val="Guidance"/>
      </w:pPr>
      <w:r>
        <w:t xml:space="preserve">The cases, Indian and older, from which the canon comes.</w:t>
      </w:r>
    </w:p>
    <w:p/>
    <w:p>
      <w:pPr>
        <w:pStyle w:val="Heading1"/>
      </w:pPr>
      <w:r>
        <w:t xml:space="preserve">A worked example</w:t>
      </w:r>
    </w:p>
    <w:p>
      <w:pPr>
        <w:pStyle w:val="Guidance"/>
      </w:pPr>
      <w:r>
        <w:t xml:space="preserve">One provision read with the canon, step by step.</w:t>
      </w:r>
    </w:p>
    <w:p/>
    <w:p>
      <w:pPr>
        <w:pStyle w:val="Heading1"/>
      </w:pPr>
      <w:r>
        <w:t xml:space="preserve">When it does not apply</w:t>
      </w:r>
    </w:p>
    <w:p>
      <w:pPr>
        <w:pStyle w:val="Guidance"/>
      </w:pPr>
      <w:r>
        <w:t xml:space="preserve">The conditions for using it and the cases that refused to.</w:t>
      </w:r>
    </w:p>
    <w:p/>
    <w:p>
      <w:pPr>
        <w:pStyle w:val="Heading1"/>
      </w:pPr>
      <w:r>
        <w:t xml:space="preserve">Its relation to other canons</w:t>
      </w:r>
    </w:p>
    <w:p>
      <w:pPr>
        <w:pStyle w:val="Guidance"/>
      </w:pPr>
      <w:r>
        <w:t xml:space="preserve">Which canons point the other way, and which prevails.</w:t>
      </w:r>
    </w:p>
    <w:p/>
    <w:p>
      <w:pPr>
        <w:pStyle w:val="Heading1"/>
      </w:pPr>
      <w:r>
        <w:t xml:space="preserve">Notes for the writer (delete before submitting)</w:t>
      </w:r>
    </w:p>
    <w:p>
      <w:pPr>
        <w:pStyle w:val="Guidance"/>
      </w:pPr>
      <w:r>
        <w:t xml:space="preserve">Scope of this entry. Why constitutional text is read more generously than a statute, and the debate with original meaning.</w:t>
      </w:r>
    </w:p>
    <w:p>
      <w:pPr>
        <w:pStyle w:val="Guidance"/>
      </w:pPr>
      <w:r>
        <w:t xml:space="preserve">Authorities to start from. These are places to begin, listed by the editors. Read each one in the original and check the citation before you rely on it.</w:t>
      </w:r>
    </w:p>
    <w:p>
      <w:pPr>
        <w:pStyle w:val="Bullet"/>
      </w:pPr>
      <w:r>
        <w:t xml:space="preserve">•  K.S. Puttaswamy v. Union of India, (2017) 10 SCC 1</w:t>
      </w:r>
    </w:p>
    <w:p>
      <w:pPr>
        <w:pStyle w:val="Bullet"/>
      </w:pPr>
      <w:r>
        <w:t xml:space="preserve">•  State (NCT of Delhi) v. Union of India, (2018) 8 SCC 501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https://fpr.iura.in/canons/living-constitution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