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CA-0019 · Interpretation</w:t>
      </w:r>
    </w:p>
    <w:p>
      <w:pPr>
        <w:pStyle w:val="Title"/>
      </w:pPr>
      <w:r>
        <w:t xml:space="preserve">The Non Obstante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"notwithstanding anything contained" overrides, and how far the enacting part controls the clause.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Bullet"/>
      </w:pPr>
      <w:r>
        <w:t xml:space="preserve">•  Chandavarkar Sita Ratna Rao v. Ashalata S. Guram, (1986) 4 SCC 447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https://fpr.iura.in/canons/non-obstante-clause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