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CA-0039 · Interpretation</w:t>
      </w:r>
    </w:p>
    <w:p>
      <w:pPr>
        <w:pStyle w:val="Title"/>
      </w:pPr>
      <w:r>
        <w:t xml:space="preserve">The Preamble as an Aid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preamble may resolve an ambiguity in the enacting words but cannot control words that are clear.</w:t>
      </w:r>
    </w:p>
    <w:p>
      <w:pPr>
        <w:pStyle w:val="Guidance"/>
      </w:pPr>
      <w:r>
        <w:t xml:space="preserve">Authorities to start from. These are places to begin, listed by the editors. Read each one in the original and check the citation before you rely on it.</w:t>
      </w:r>
    </w:p>
    <w:p>
      <w:pPr>
        <w:pStyle w:val="Bullet"/>
      </w:pPr>
      <w:r>
        <w:t xml:space="preserve">•  In re Berubari Union, AIR 1960 SC 845</w:t>
      </w:r>
    </w:p>
    <w:p>
      <w:pPr>
        <w:pStyle w:val="Bullet"/>
      </w:pPr>
      <w:r>
        <w:t xml:space="preserve">•  Kesavananda Bharati v. State of Kerala, (1973) 4 SCC 225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https://fpr.iura.in/canons/preamble-as-an-aid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