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Canon · CA-0048 · Interpretation</w:t>
      </w:r>
    </w:p>
    <w:p>
      <w:pPr>
        <w:pStyle w:val="Title"/>
      </w:pPr>
      <w:r>
        <w:t xml:space="preserve">Presumption against Extraterritorial Operation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 of reading</w:t>
      </w:r>
    </w:p>
    <w:p>
      <w:pPr>
        <w:pStyle w:val="Guidance"/>
      </w:pPr>
      <w:r>
        <w:t xml:space="preserve">State the canon and the kind of text it applies to.</w:t>
      </w:r>
    </w:p>
    <w:p/>
    <w:p>
      <w:pPr>
        <w:pStyle w:val="Heading1"/>
      </w:pPr>
      <w:r>
        <w:t xml:space="preserve">Its source</w:t>
      </w:r>
    </w:p>
    <w:p>
      <w:pPr>
        <w:pStyle w:val="Guidance"/>
      </w:pPr>
      <w:r>
        <w:t xml:space="preserve">The cases, Indian and older, from which the canon comes.</w:t>
      </w:r>
    </w:p>
    <w:p/>
    <w:p>
      <w:pPr>
        <w:pStyle w:val="Heading1"/>
      </w:pPr>
      <w:r>
        <w:t xml:space="preserve">A worked example</w:t>
      </w:r>
    </w:p>
    <w:p>
      <w:pPr>
        <w:pStyle w:val="Guidance"/>
      </w:pPr>
      <w:r>
        <w:t xml:space="preserve">One provision read with the canon, step by step.</w:t>
      </w:r>
    </w:p>
    <w:p/>
    <w:p>
      <w:pPr>
        <w:pStyle w:val="Heading1"/>
      </w:pPr>
      <w:r>
        <w:t xml:space="preserve">When it does not apply</w:t>
      </w:r>
    </w:p>
    <w:p>
      <w:pPr>
        <w:pStyle w:val="Guidance"/>
      </w:pPr>
      <w:r>
        <w:t xml:space="preserve">The conditions for using it and the cases that refused to.</w:t>
      </w:r>
    </w:p>
    <w:p/>
    <w:p>
      <w:pPr>
        <w:pStyle w:val="Heading1"/>
      </w:pPr>
      <w:r>
        <w:t xml:space="preserve">Its relation to other canons</w:t>
      </w:r>
    </w:p>
    <w:p>
      <w:pPr>
        <w:pStyle w:val="Guidance"/>
      </w:pPr>
      <w:r>
        <w:t xml:space="preserve">Which canons point the other way, and which prevails.</w:t>
      </w:r>
    </w:p>
    <w:p/>
    <w:p>
      <w:pPr>
        <w:pStyle w:val="Heading1"/>
      </w:pPr>
      <w:r>
        <w:t xml:space="preserve">Notes for the writer (delete before submitting)</w:t>
      </w:r>
    </w:p>
    <w:p>
      <w:pPr>
        <w:pStyle w:val="Guidance"/>
      </w:pPr>
      <w:r>
        <w:t xml:space="preserve">Scope of this entry. The presumption that Parliament legislates for India, and the nexus needed for a law to reach events abroad.</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 Const. art. 245</w:t>
      </w:r>
    </w:p>
    <w:p>
      <w:pPr>
        <w:pStyle w:val="Bullet"/>
      </w:pPr>
      <w:r>
        <w:t xml:space="preserve">•  GVK Industries Ltd. v. ITO, (2011) 4 SCC 36</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https://fpr.iura.in/canons/presumption-against-extraterritoriality</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