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CA-0052 · Interpretation</w:t>
      </w:r>
    </w:p>
    <w:p>
      <w:pPr>
        <w:pStyle w:val="Title"/>
      </w:pPr>
      <w:r>
        <w:t xml:space="preserve">Procedural Laws Are Retrospective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no one has a vested right in procedure, so that changes of forum and procedure apply to pending cases.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Hitendra Vishnu Thakur v. State of Maharashtra, (1994) 4 SCC 602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https://fpr.iura.in/canons/procedural-laws-are-retrospective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