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CA-0020 · Interpretation</w:t>
      </w:r>
    </w:p>
    <w:p>
      <w:pPr>
        <w:pStyle w:val="Title"/>
      </w:pPr>
      <w:r>
        <w:t xml:space="preserve">Reading a Proviso</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A proviso qualifies the main enactment and is not read as an independent provision, with the recognised exceptions.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S. Sundaram Pillai v. V.R. Pattabiraman, (1985) 1 SCC 591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https://fpr.iura.in/canons/proviso</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