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CA-0035 · Legal History</w:t>
      </w:r>
    </w:p>
    <w:p>
      <w:pPr>
        <w:pStyle w:val="Title"/>
      </w:pPr>
      <w:r>
        <w:t xml:space="preserve">Using the Constituent Assembly Debates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How far the debates may be used to find the meaning of a constitutional provision, and the caution that goes with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A.K. Gopalan v. State of Madras, AIR 1950 SC 27</w:t>
      </w:r>
    </w:p>
    <w:p>
      <w:pPr>
        <w:pStyle w:val="Bullet"/>
      </w:pPr>
      <w:r>
        <w:t xml:space="preserve">•  Kesavananda Bharati v. State of Kerala, (1973) 4 SCC 225</w:t>
      </w:r>
    </w:p>
    <w:p>
      <w:pPr>
        <w:pStyle w:val="Bullet"/>
      </w:pPr>
      <w:r>
        <w:t xml:space="preserve">•  S.R. Chaudhuri v. State of Punjab, (2001) 7 SCC 126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https://fpr.iura.in/canons/reading-a-constitution-historically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