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CA-0033 · Property</w:t>
      </w:r>
    </w:p>
    <w:p>
      <w:pPr>
        <w:pStyle w:val="Title"/>
      </w:pPr>
      <w:r>
        <w:t xml:space="preserve">Reading a Will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armchair rule, giving effect to every clause, and preferring the later of two inconsistent clauses.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74–88</w:t>
      </w:r>
    </w:p>
    <w:p>
      <w:pPr>
        <w:pStyle w:val="Bullet"/>
      </w:pPr>
      <w:r>
        <w:t xml:space="preserve">•  Navneet Lal v. Gokul, (1976) 1 SCC 630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https://fpr.iura.in/canons/reading-wills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