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CA-0036 · Interpretation</w:t>
      </w:r>
    </w:p>
    <w:p>
      <w:pPr>
        <w:pStyle w:val="Title"/>
      </w:pPr>
      <w:r>
        <w:t xml:space="preserve">Reddendo Singula Singulis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Where a sentence has several subjects and several objects, each word is read with the one it fits.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Koteswar Vittal Kamath v. K. Rangappa Baliga &amp; Co., (1969) 1 SCC 255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https://fpr.iura.in/canons/reddendo-singula-singulis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