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CA-0069 · Interpretation</w:t>
      </w:r>
    </w:p>
    <w:p>
      <w:pPr>
        <w:pStyle w:val="Title"/>
      </w:pPr>
      <w:r>
        <w:t xml:space="preserve">References to Repealed Enactments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a reference to a repealed and re-enacted provision is read as a reference to the new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Clauses Act, 1897, § 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https://fpr.iura.in/canons/references-to-repealed-enactments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