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CA-0054 · Interpretation</w:t>
      </w:r>
    </w:p>
    <w:p>
      <w:pPr>
        <w:pStyle w:val="Title"/>
      </w:pPr>
      <w:r>
        <w:t xml:space="preserve">Schedules and Forms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place of a schedule as part of the Act, and the rule that in a conflict the enacting section prevails.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Aphali Pharmaceuticals Ltd. v. State of Maharashtra, (1989) 4 SCC 378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https://fpr.iura.in/canons/schedules-and-forms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