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CA-0024 · Interpretation</w:t>
      </w:r>
    </w:p>
    <w:p>
      <w:pPr>
        <w:pStyle w:val="Title"/>
      </w:pPr>
      <w:r>
        <w:t xml:space="preserve">The Statute Is Always Speaking</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Updating construction: applying old words to new technology and changed conditions.</w:t>
      </w:r>
    </w:p>
    <w:p>
      <w:pPr>
        <w:pStyle w:val="Guidance"/>
      </w:pPr>
      <w:r>
        <w:t xml:space="preserve">Authorities to start from. These are places to begin, listed by the editors. Read each one in the original and check the citation before you rely on it.</w:t>
      </w:r>
    </w:p>
    <w:p>
      <w:pPr>
        <w:pStyle w:val="Bullet"/>
      </w:pPr>
      <w:r>
        <w:t xml:space="preserve">•  State (through CBI) v. S.J. Choudhary, (1996) 2 SCC 428</w:t>
      </w:r>
    </w:p>
    <w:p>
      <w:pPr>
        <w:pStyle w:val="Bullet"/>
      </w:pPr>
      <w:r>
        <w:t xml:space="preserve">•  State of Maharashtra v. Dr. Praful B. Desai, (2003) 4 SCC 601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https://fpr.iura.in/canons/statute-always-speaking</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