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CA-0041 · Interpretation</w:t>
      </w:r>
    </w:p>
    <w:p>
      <w:pPr>
        <w:pStyle w:val="Title"/>
      </w:pPr>
      <w:r>
        <w:t xml:space="preserve">Statutes in Pari Materia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Statutes on the same subject are read together, so that the same words carry the same meaning across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Madras v. A. Vaidyanatha Iyer, AIR 1958 SC 61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https://fpr.iura.in/canons/statutes-in-pari-materia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