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CA-0073 · Constitutional</w:t>
      </w:r>
    </w:p>
    <w:p>
      <w:pPr>
        <w:pStyle w:val="Title"/>
      </w:pPr>
      <w:r>
        <w:t xml:space="preserve">Taxation as a Distinct Legislative Head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power to tax is found only in the taxing entries and is never implied from a general entry.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M.P.V. Sundararamier &amp; Co. v. State of A.P., AIR 1958 SC 468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https://fpr.iura.in/canons/taxation-as-a-distinct-legislative-head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