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CA-0055 · Interpretation</w:t>
      </w:r>
    </w:p>
    <w:p>
      <w:pPr>
        <w:pStyle w:val="Title"/>
      </w:pPr>
      <w:r>
        <w:t xml:space="preserve">Text and Context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a statute is read as a whole, each word coloured by its setting and by the purpose of the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RBI v. Peerless General Finance &amp; Investment Co. Ltd., (1987) 1 SCC 424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https://fpr.iura.in/canons/text-and-context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