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CA-0028 · Tax</w:t>
      </w:r>
    </w:p>
    <w:p>
      <w:pPr>
        <w:pStyle w:val="Title"/>
      </w:pPr>
      <w:r>
        <w:t xml:space="preserve">Reading a Tax Treaty with the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double taxation agreement prevails over the Act where it is more beneficial to the assessee.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90(2)</w:t>
      </w:r>
    </w:p>
    <w:p>
      <w:pPr>
        <w:pStyle w:val="Bullet"/>
      </w:pPr>
      <w:r>
        <w:t xml:space="preserve">•  Union of India v. Azadi Bachao Andolan, (2004)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https://fpr.iura.in/canons/treaty-override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