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CA-0037 · Interpretation</w:t>
      </w:r>
    </w:p>
    <w:p>
      <w:pPr>
        <w:pStyle w:val="Title"/>
      </w:pPr>
      <w:r>
        <w:t xml:space="preserve">Ut Res Magis Valeat Quam Pereat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A statute is read so that it works; a construction that defeats the provision is avoided if another is open.</w:t>
      </w:r>
    </w:p>
    <w:p>
      <w:pPr>
        <w:pStyle w:val="Guidance"/>
      </w:pPr>
      <w:r>
        <w:t xml:space="preserve">Authorities to start from. These are places to begin, listed by the editors. Read each one in the original and check the citation before you rely on it.</w:t>
      </w:r>
    </w:p>
    <w:p>
      <w:pPr>
        <w:pStyle w:val="Bullet"/>
      </w:pPr>
      <w:r>
        <w:t xml:space="preserve">•  CIT v. S. Teja Singh, AIR 1959 SC 352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https://fpr.iura.in/canons/ut-res-magis-valeat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