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CA-0064 · Arbitration</w:t>
      </w:r>
    </w:p>
    <w:p>
      <w:pPr>
        <w:pStyle w:val="Title"/>
      </w:pPr>
      <w:r>
        <w:t xml:space="preserve">Workable Construction of Arbitration Clauses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approach of reading a badly drafted arbitration clause so as to make it work where the intention to arbitrate is clear.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Enercon (India) Ltd. v. Enercon GmbH, (2014) 5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https://fpr.iura.in/canons/workable-construction-of-arbitration-clauses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