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CN-0377 · Tech &amp; Data</w:t>
      </w:r>
    </w:p>
    <w:p>
      <w:pPr>
        <w:pStyle w:val="Title"/>
      </w:pPr>
      <w:r>
        <w:t xml:space="preserve">Aadhaar Authentication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Verification of identity against the Aadhaar database, the purposes for which it can be demanded, and those struck down in 2018.</w:t>
      </w:r>
    </w:p>
    <w:p>
      <w:pPr>
        <w:pStyle w:val="Guidance"/>
      </w:pPr>
      <w:r>
        <w:t xml:space="preserve">Authorities to start from. These are places to begin, listed by the editors. Read each one in the original and check the citation before you rely on it.</w:t>
      </w:r>
    </w:p>
    <w:p>
      <w:pPr>
        <w:pStyle w:val="Bullet"/>
      </w:pPr>
      <w:r>
        <w:t xml:space="preserve">•  Aadhaar (Targeted Delivery of Financial and Other Subsidies, Benefits and Services) Act, 2016, §§ 7, 8</w:t>
      </w:r>
    </w:p>
    <w:p>
      <w:pPr>
        <w:pStyle w:val="Bullet"/>
      </w:pPr>
      <w:r>
        <w:t xml:space="preserve">•  K.S. Puttaswamy (Aadhaar) v. Union of India, (2019) 1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https://fpr.iura.in/concepts/aadhaar-authentication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