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CN-0166 · Evidence</w:t>
      </w:r>
    </w:p>
    <w:p>
      <w:pPr>
        <w:pStyle w:val="Title"/>
      </w:pPr>
      <w:r>
        <w:t xml:space="preserve">Accomplice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participant in the crime who gives evidence for the prosecution, and why corroboration is required in practice though not in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(b), 133 (now Bharatiya Sakshya Adhiniyam, 2023, §§ 119, 138)</w:t>
      </w:r>
    </w:p>
    <w:p>
      <w:pPr>
        <w:pStyle w:val="Bullet"/>
      </w:pPr>
      <w:r>
        <w:t xml:space="preserve">•  Rameshwar v. State of Rajasthan, AIR 1952 SC 54</w:t>
      </w:r>
    </w:p>
    <w:p>
      <w:pPr>
        <w:pStyle w:val="Bullet"/>
      </w:pPr>
      <w:r>
        <w:t xml:space="preserve">•  Haroom Haji Abdulla v. State of Maharashtra, AIR 1968 SC 832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https://fpr.iura.in/concepts/accomplice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