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CN-0489 · Criminal</w:t>
      </w:r>
    </w:p>
    <w:p>
      <w:pPr>
        <w:pStyle w:val="Title"/>
      </w:pPr>
      <w:r>
        <w:t xml:space="preserve">Acid Attack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Grievous hurt caused by throwing acid, the separate offence created for it, and the directions on sale of acid and compensation.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326A (now Bharatiya Nyaya Sanhita, 2023, § 124)</w:t>
      </w:r>
    </w:p>
    <w:p>
      <w:pPr>
        <w:pStyle w:val="Bullet"/>
      </w:pPr>
      <w:r>
        <w:t xml:space="preserve">•  Laxmi v. Union of India, (2014) 4 SCC 427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https://fpr.iura.in/concepts/acid-attack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