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CN-0240 · Property</w:t>
      </w:r>
    </w:p>
    <w:p>
      <w:pPr>
        <w:pStyle w:val="Title"/>
      </w:pPr>
      <w:r>
        <w:t xml:space="preserve">Actionable Claim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to an unsecured debt or to movable property not in possession, and how it is assigned.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 130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https://fpr.iura.in/concepts/actionable-claim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