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CN-0163 · Evidence</w:t>
      </w:r>
    </w:p>
    <w:p>
      <w:pPr>
        <w:pStyle w:val="Title"/>
      </w:pPr>
      <w:r>
        <w:t xml:space="preserve">Admission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statement suggesting an inference about a fact in issue, who can make one, and why it is strong evidence but not conclusive.</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Evidence Act, 1872, §§ 17–23, 31</w:t>
      </w:r>
    </w:p>
    <w:p>
      <w:pPr>
        <w:pStyle w:val="Bullet"/>
      </w:pPr>
      <w:r>
        <w:t xml:space="preserve">•  Bharat Singh v. Bhagirathi, AIR 1966 SC 405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https://fpr.iura.in/concepts/admission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