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CN-0786 · Legal History</w:t>
      </w:r>
    </w:p>
    <w:p>
      <w:pPr>
        <w:pStyle w:val="Title"/>
      </w:pPr>
      <w:r>
        <w:t xml:space="preserve">Age of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raising of the age of consent in 1891 and the restraint of child marriage in 1929, and the controversy each caused.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Criminal Law Amendment Act, 1891</w:t>
      </w:r>
    </w:p>
    <w:p>
      <w:pPr>
        <w:pStyle w:val="Bullet"/>
      </w:pPr>
      <w:r>
        <w:t xml:space="preserve">•  Child Marriage Restraint Act, 1929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https://fpr.iura.in/concepts/age-of-consent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