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CN-0324 · Tax</w:t>
      </w:r>
    </w:p>
    <w:p>
      <w:pPr>
        <w:pStyle w:val="Title"/>
      </w:pPr>
      <w:r>
        <w:t xml:space="preserve">Agricultural Income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Income from land used for agriculture, which the Union cannot tax, and the operations on the land that make it agricultural.</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2(1A), 10(1)</w:t>
      </w:r>
    </w:p>
    <w:p>
      <w:pPr>
        <w:pStyle w:val="Bullet"/>
      </w:pPr>
      <w:r>
        <w:t xml:space="preserve">•  CIT v. Raja Benoy Kumar Sahas Roy, AIR 1957 SC 768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https://fpr.iura.in/concepts/agricultural-income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