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CN-0272 · Family</w:t>
      </w:r>
    </w:p>
    <w:p>
      <w:pPr>
        <w:pStyle w:val="Title"/>
      </w:pPr>
      <w:r>
        <w:t xml:space="preserve">Ancestral and Self-Acquired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in which sons and daughters take an interest by birth and property a person holds alone, after the 1956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CWT v. Chander Sen, (1986) 3 SCC 567</w:t>
      </w:r>
    </w:p>
    <w:p>
      <w:pPr>
        <w:pStyle w:val="Bullet"/>
      </w:pPr>
      <w:r>
        <w:t xml:space="preserve">•  Uttam v. Saubhag Singh, (2016) 4 SCC 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https://fpr.iura.in/concepts/ancestral-and-self-acquired-property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