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CN-0183 · Civil Procedure</w:t>
      </w:r>
    </w:p>
    <w:p>
      <w:pPr>
        <w:pStyle w:val="Title"/>
      </w:pPr>
      <w:r>
        <w:t xml:space="preserve">Appeal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Appeal as a creature of statute, what a first appellate court must do with facts and law, and how it differs from revision.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96, 107</w:t>
      </w:r>
    </w:p>
    <w:p>
      <w:pPr>
        <w:pStyle w:val="Bullet"/>
      </w:pPr>
      <w:r>
        <w:t xml:space="preserve">•  Santosh Hazari v. Purushottam Tiwari, (2001) 3 SCC 179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https://fpr.iura.in/concepts/appeal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