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CN-0513 · Criminal</w:t>
      </w:r>
    </w:p>
    <w:p>
      <w:pPr>
        <w:pStyle w:val="Title"/>
      </w:pPr>
      <w:r>
        <w:t xml:space="preserve">Approver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accomplice given a pardon on condition of full disclosure, and what happens if the condition is broken.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306–308 (now Bharatiya Nagarik Suraksha Sanhita, 2023, §§ 343–345)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https://fpr.iura.in/concepts/approver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