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CN-0033 · Arbitration</w:t>
      </w:r>
    </w:p>
    <w:p>
      <w:pPr>
        <w:pStyle w:val="Title"/>
      </w:pPr>
      <w:r>
        <w:t xml:space="preserve">Arbitrability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disputes can be sent to a private tribunal and which are reserved for courts: rights in rem, statutory fora and fraud.</w:t>
      </w:r>
    </w:p>
    <w:p>
      <w:pPr>
        <w:pStyle w:val="Guidance"/>
      </w:pPr>
      <w:r>
        <w:t xml:space="preserve">Authorities to start from. These are places to begin, listed by the editors. Read each one in the original and check the citation before you rely on it.</w:t>
      </w:r>
    </w:p>
    <w:p>
      <w:pPr>
        <w:pStyle w:val="Bullet"/>
      </w:pPr>
      <w:r>
        <w:t xml:space="preserve">•  Booz Allen &amp; Hamilton Inc. v. SBI Home Finance Ltd., (2011) 5 SCC 532</w:t>
      </w:r>
    </w:p>
    <w:p>
      <w:pPr>
        <w:pStyle w:val="Bullet"/>
      </w:pPr>
      <w:r>
        <w:t xml:space="preserve">•  Vidya Drolia v. Durga Trading Corpn., (2021)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https://fpr.iura.in/concepts/arbitrability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