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CN-0388 · Arbitration</w:t>
      </w:r>
    </w:p>
    <w:p>
      <w:pPr>
        <w:pStyle w:val="Title"/>
      </w:pPr>
      <w:r>
        <w:t xml:space="preserve">Arbitration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in writing to submit disputes to arbitration, the attributes it must have, and how it differs from expert determination.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7</w:t>
      </w:r>
    </w:p>
    <w:p>
      <w:pPr>
        <w:pStyle w:val="Bullet"/>
      </w:pPr>
      <w:r>
        <w:t xml:space="preserve">•  K.K. Modi v. K.N. Modi, (1998) 3 SCC 573</w:t>
      </w:r>
    </w:p>
    <w:p>
      <w:pPr>
        <w:pStyle w:val="Bullet"/>
      </w:pPr>
      <w:r>
        <w:t xml:space="preserve">•  Jagdish Chander v. Ramesh Chander, (2007) 5 SCC 719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https://fpr.iura.in/concepts/arbitration-agreement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