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CN-0726 · Arbitration</w:t>
      </w:r>
    </w:p>
    <w:p>
      <w:pPr>
        <w:pStyle w:val="Title"/>
      </w:pPr>
      <w:r>
        <w:t xml:space="preserve">Arbitrators’ Fees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model fee scale in the Fourth Schedule, and the rule that arbitrators cannot fix their own fees without the parties’ agreement.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Arbitration and Conciliation Act, 1996, Fourth Schedule</w:t>
      </w:r>
    </w:p>
    <w:p>
      <w:pPr>
        <w:pStyle w:val="Bullet"/>
      </w:pPr>
      <w:r>
        <w:t xml:space="preserve">•  ONGC Ltd. v. Afcons Gunanusa JV, (2024) 4 SCC 481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https://fpr.iura.in/concepts/arbitrators-fees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