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CN-0476 · Criminal</w:t>
      </w:r>
    </w:p>
    <w:p>
      <w:pPr>
        <w:pStyle w:val="Title"/>
      </w:pPr>
      <w:r>
        <w:t xml:space="preserve">Assault and Criminal Force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gesture that makes another apprehend force, and the intentional use of force without consent.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350, 351 (now Bharatiya Nyaya Sanhita, 2023, §§ 129, 130)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https://fpr.iura.in/concepts/assault-and-criminal-force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