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CN-0321 · Tax</w:t>
      </w:r>
    </w:p>
    <w:p>
      <w:pPr>
        <w:pStyle w:val="Title"/>
      </w:pPr>
      <w:r>
        <w:t xml:space="preserve">Assessee and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seven kinds of person the Income-tax Act taxes, and who counts as an assessee, including one treated as in default.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2(7), 2(31)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https://fpr.iura.in/concepts/assessee-and-person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