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CN-0555 · Contract</w:t>
      </w:r>
    </w:p>
    <w:p>
      <w:pPr>
        <w:pStyle w:val="Title"/>
      </w:pPr>
      <w:r>
        <w:t xml:space="preserve">Assignment of Contracts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the benefit of a contract can be assigned but its burden cannot, and the exception for contracts of a personal nature.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Khardah Co. Ltd. v. Raymon &amp; Co. (India) (P) Ltd., AIR 1962 SC 1810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https://fpr.iura.in/concepts/assignment-of-contracts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