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CN-0574 · Property</w:t>
      </w:r>
    </w:p>
    <w:p>
      <w:pPr>
        <w:pStyle w:val="Title"/>
      </w:pPr>
      <w:r>
        <w:t xml:space="preserve">Attestation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signing of a document by witnesses who saw it executed, and the intention with which they must sign.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w:t>
      </w:r>
    </w:p>
    <w:p>
      <w:pPr>
        <w:pStyle w:val="Bullet"/>
      </w:pPr>
      <w:r>
        <w:t xml:space="preserve">•  M.L. Abdul Jabbar Sahib v. H. Venkata Sastri &amp; Sons, (1969) 1 SCC 573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https://fpr.iura.in/concepts/attestation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